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09" w:rsidRPr="00DE67E9" w:rsidRDefault="009B7909" w:rsidP="009B7909">
      <w:pPr>
        <w:jc w:val="center"/>
        <w:rPr>
          <w:rFonts w:ascii="Arial" w:hAnsi="Arial" w:cs="Arial"/>
          <w:b/>
          <w:sz w:val="44"/>
          <w:szCs w:val="44"/>
        </w:rPr>
      </w:pPr>
      <w:r w:rsidRPr="00DE67E9">
        <w:rPr>
          <w:rFonts w:ascii="Arial" w:hAnsi="Arial" w:cs="Arial"/>
          <w:b/>
          <w:sz w:val="44"/>
          <w:szCs w:val="44"/>
        </w:rPr>
        <w:t xml:space="preserve">Safe-guards: WV </w:t>
      </w:r>
      <w:proofErr w:type="spellStart"/>
      <w:r w:rsidRPr="00DE67E9">
        <w:rPr>
          <w:rFonts w:ascii="Arial" w:hAnsi="Arial" w:cs="Arial"/>
          <w:b/>
          <w:sz w:val="44"/>
          <w:szCs w:val="44"/>
        </w:rPr>
        <w:t>Bioptic</w:t>
      </w:r>
      <w:proofErr w:type="spellEnd"/>
      <w:r w:rsidRPr="00DE67E9">
        <w:rPr>
          <w:rFonts w:ascii="Arial" w:hAnsi="Arial" w:cs="Arial"/>
          <w:b/>
          <w:sz w:val="44"/>
          <w:szCs w:val="44"/>
        </w:rPr>
        <w:t xml:space="preserve"> Driving Program</w:t>
      </w:r>
    </w:p>
    <w:p w:rsidR="009B7909" w:rsidRDefault="009B7909" w:rsidP="009B7909">
      <w:pPr>
        <w:ind w:left="720"/>
      </w:pP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>Set vision standards</w:t>
      </w:r>
      <w:r w:rsidRPr="00DE67E9">
        <w:rPr>
          <w:rFonts w:ascii="Arial" w:hAnsi="Arial" w:cs="Arial"/>
          <w:sz w:val="36"/>
          <w:szCs w:val="36"/>
        </w:rPr>
        <w:t xml:space="preserve"> (i.e. specify the parameters of visual acuity and visual field that you wish to have potential applicants for </w:t>
      </w:r>
      <w:proofErr w:type="spellStart"/>
      <w:r w:rsidRPr="00DE67E9">
        <w:rPr>
          <w:rFonts w:ascii="Arial" w:hAnsi="Arial" w:cs="Arial"/>
          <w:sz w:val="36"/>
          <w:szCs w:val="36"/>
        </w:rPr>
        <w:t>bioptic</w:t>
      </w:r>
      <w:proofErr w:type="spellEnd"/>
      <w:r w:rsidRPr="00DE67E9">
        <w:rPr>
          <w:rFonts w:ascii="Arial" w:hAnsi="Arial" w:cs="Arial"/>
          <w:sz w:val="36"/>
          <w:szCs w:val="36"/>
        </w:rPr>
        <w:t xml:space="preserve"> driving in </w:t>
      </w:r>
      <w:r w:rsidR="00DE67E9" w:rsidRPr="00DE67E9">
        <w:rPr>
          <w:rFonts w:ascii="Arial" w:hAnsi="Arial" w:cs="Arial"/>
          <w:sz w:val="36"/>
          <w:szCs w:val="36"/>
        </w:rPr>
        <w:t>WV</w:t>
      </w:r>
      <w:r w:rsidRPr="00DE67E9">
        <w:rPr>
          <w:rFonts w:ascii="Arial" w:hAnsi="Arial" w:cs="Arial"/>
          <w:sz w:val="36"/>
          <w:szCs w:val="36"/>
        </w:rPr>
        <w:t xml:space="preserve"> to meet and maintain, the level of improved visual acuity required when looking through the telescopic portion of the prescribed </w:t>
      </w:r>
      <w:proofErr w:type="spellStart"/>
      <w:r w:rsidRPr="00DE67E9">
        <w:rPr>
          <w:rFonts w:ascii="Arial" w:hAnsi="Arial" w:cs="Arial"/>
          <w:sz w:val="36"/>
          <w:szCs w:val="36"/>
        </w:rPr>
        <w:t>bioptic</w:t>
      </w:r>
      <w:proofErr w:type="spellEnd"/>
      <w:r w:rsidRPr="00DE67E9">
        <w:rPr>
          <w:rFonts w:ascii="Arial" w:hAnsi="Arial" w:cs="Arial"/>
          <w:sz w:val="36"/>
          <w:szCs w:val="36"/>
        </w:rPr>
        <w:t xml:space="preserve"> lens system, etc.) 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>Pre, post and annual vision re-examinations</w:t>
      </w:r>
      <w:r w:rsidRPr="00DE67E9">
        <w:rPr>
          <w:rFonts w:ascii="Arial" w:hAnsi="Arial" w:cs="Arial"/>
          <w:sz w:val="36"/>
          <w:szCs w:val="36"/>
        </w:rPr>
        <w:t xml:space="preserve"> (i.e. set time limits for having </w:t>
      </w:r>
      <w:r w:rsidRPr="00DE67E9">
        <w:rPr>
          <w:rFonts w:ascii="Arial" w:hAnsi="Arial" w:cs="Arial"/>
          <w:sz w:val="36"/>
          <w:szCs w:val="36"/>
        </w:rPr>
        <w:t xml:space="preserve">preliminary, </w:t>
      </w:r>
      <w:r w:rsidRPr="00DE67E9">
        <w:rPr>
          <w:rFonts w:ascii="Arial" w:hAnsi="Arial" w:cs="Arial"/>
          <w:sz w:val="36"/>
          <w:szCs w:val="36"/>
        </w:rPr>
        <w:t xml:space="preserve">updated </w:t>
      </w:r>
      <w:r w:rsidRPr="00DE67E9">
        <w:rPr>
          <w:rFonts w:ascii="Arial" w:hAnsi="Arial" w:cs="Arial"/>
          <w:sz w:val="36"/>
          <w:szCs w:val="36"/>
        </w:rPr>
        <w:t xml:space="preserve">and annual </w:t>
      </w:r>
      <w:r w:rsidRPr="00DE67E9">
        <w:rPr>
          <w:rFonts w:ascii="Arial" w:hAnsi="Arial" w:cs="Arial"/>
          <w:sz w:val="36"/>
          <w:szCs w:val="36"/>
        </w:rPr>
        <w:t xml:space="preserve">clinical low vision examinations to verify visual stability of </w:t>
      </w:r>
      <w:proofErr w:type="spellStart"/>
      <w:r w:rsidRPr="00DE67E9">
        <w:rPr>
          <w:rFonts w:ascii="Arial" w:hAnsi="Arial" w:cs="Arial"/>
          <w:sz w:val="36"/>
          <w:szCs w:val="36"/>
        </w:rPr>
        <w:t>bioptic</w:t>
      </w:r>
      <w:proofErr w:type="spellEnd"/>
      <w:r w:rsidRPr="00DE67E9">
        <w:rPr>
          <w:rFonts w:ascii="Arial" w:hAnsi="Arial" w:cs="Arial"/>
          <w:sz w:val="36"/>
          <w:szCs w:val="36"/>
        </w:rPr>
        <w:t xml:space="preserve"> driving candidates)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>Functional vision screening and driver screening</w:t>
      </w:r>
      <w:r w:rsidRPr="00DE67E9">
        <w:rPr>
          <w:rFonts w:ascii="Arial" w:hAnsi="Arial" w:cs="Arial"/>
          <w:sz w:val="36"/>
          <w:szCs w:val="36"/>
        </w:rPr>
        <w:t xml:space="preserve"> (i.e. provide a</w:t>
      </w:r>
      <w:r w:rsidRPr="00DE67E9">
        <w:rPr>
          <w:rFonts w:ascii="Arial" w:hAnsi="Arial" w:cs="Arial"/>
          <w:sz w:val="36"/>
          <w:szCs w:val="36"/>
        </w:rPr>
        <w:t xml:space="preserve"> preliminary </w:t>
      </w:r>
      <w:r w:rsidRPr="00DE67E9">
        <w:rPr>
          <w:rFonts w:ascii="Arial" w:hAnsi="Arial" w:cs="Arial"/>
          <w:sz w:val="36"/>
          <w:szCs w:val="36"/>
        </w:rPr>
        <w:t xml:space="preserve">on-road passenger-in-car and </w:t>
      </w:r>
      <w:r w:rsidRPr="00DE67E9">
        <w:rPr>
          <w:rFonts w:ascii="Arial" w:hAnsi="Arial" w:cs="Arial"/>
          <w:sz w:val="36"/>
          <w:szCs w:val="36"/>
        </w:rPr>
        <w:t>behind-the-wheel (actual</w:t>
      </w:r>
      <w:r w:rsidRPr="00DE67E9">
        <w:rPr>
          <w:rFonts w:ascii="Arial" w:hAnsi="Arial" w:cs="Arial"/>
          <w:sz w:val="36"/>
          <w:szCs w:val="36"/>
        </w:rPr>
        <w:t xml:space="preserve"> driving</w:t>
      </w:r>
      <w:r w:rsidRPr="00DE67E9">
        <w:rPr>
          <w:rFonts w:ascii="Arial" w:hAnsi="Arial" w:cs="Arial"/>
          <w:sz w:val="36"/>
          <w:szCs w:val="36"/>
        </w:rPr>
        <w:t>)</w:t>
      </w:r>
      <w:r w:rsidRPr="00DE67E9">
        <w:rPr>
          <w:rFonts w:ascii="Arial" w:hAnsi="Arial" w:cs="Arial"/>
          <w:sz w:val="36"/>
          <w:szCs w:val="36"/>
        </w:rPr>
        <w:t xml:space="preserve"> screening </w:t>
      </w:r>
      <w:r w:rsidRPr="00DE67E9">
        <w:rPr>
          <w:rFonts w:ascii="Arial" w:hAnsi="Arial" w:cs="Arial"/>
          <w:sz w:val="36"/>
          <w:szCs w:val="36"/>
        </w:rPr>
        <w:t xml:space="preserve">to determine </w:t>
      </w:r>
      <w:r w:rsidRPr="00DE67E9">
        <w:rPr>
          <w:rFonts w:ascii="Arial" w:hAnsi="Arial" w:cs="Arial"/>
          <w:sz w:val="36"/>
          <w:szCs w:val="36"/>
        </w:rPr>
        <w:t>baseline</w:t>
      </w:r>
      <w:r w:rsidRPr="00DE67E9">
        <w:rPr>
          <w:rFonts w:ascii="Arial" w:hAnsi="Arial" w:cs="Arial"/>
          <w:sz w:val="36"/>
          <w:szCs w:val="36"/>
        </w:rPr>
        <w:t xml:space="preserve"> of </w:t>
      </w:r>
      <w:r w:rsidRPr="00DE67E9">
        <w:rPr>
          <w:rFonts w:ascii="Arial" w:hAnsi="Arial" w:cs="Arial"/>
          <w:sz w:val="36"/>
          <w:szCs w:val="36"/>
        </w:rPr>
        <w:t xml:space="preserve"> visual habits, driving abilities, knowledge about the driving task</w:t>
      </w:r>
      <w:r w:rsidRPr="00DE67E9">
        <w:rPr>
          <w:rFonts w:ascii="Arial" w:hAnsi="Arial" w:cs="Arial"/>
          <w:sz w:val="36"/>
          <w:szCs w:val="36"/>
        </w:rPr>
        <w:t xml:space="preserve">, road laws and road signs, </w:t>
      </w:r>
      <w:r w:rsidRPr="00DE67E9">
        <w:rPr>
          <w:rFonts w:ascii="Arial" w:hAnsi="Arial" w:cs="Arial"/>
          <w:sz w:val="36"/>
          <w:szCs w:val="36"/>
        </w:rPr>
        <w:t>driving environments</w:t>
      </w:r>
      <w:r w:rsidRPr="00DE67E9">
        <w:rPr>
          <w:rFonts w:ascii="Arial" w:hAnsi="Arial" w:cs="Arial"/>
          <w:sz w:val="36"/>
          <w:szCs w:val="36"/>
        </w:rPr>
        <w:t>, etc.)</w:t>
      </w:r>
      <w:r w:rsidRPr="00DE67E9">
        <w:rPr>
          <w:rFonts w:ascii="Arial" w:hAnsi="Arial" w:cs="Arial"/>
          <w:sz w:val="36"/>
          <w:szCs w:val="36"/>
        </w:rPr>
        <w:t xml:space="preserve">   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>Certificate of Eligibility</w:t>
      </w:r>
      <w:r w:rsidRPr="00DE67E9">
        <w:rPr>
          <w:rFonts w:ascii="Arial" w:hAnsi="Arial" w:cs="Arial"/>
          <w:sz w:val="36"/>
          <w:szCs w:val="36"/>
        </w:rPr>
        <w:t xml:space="preserve"> (assures compliance with set vision standards and baseline functional performances appropriate for participation in formalized </w:t>
      </w:r>
      <w:proofErr w:type="spellStart"/>
      <w:r w:rsidRPr="00DE67E9">
        <w:rPr>
          <w:rFonts w:ascii="Arial" w:hAnsi="Arial" w:cs="Arial"/>
          <w:sz w:val="36"/>
          <w:szCs w:val="36"/>
        </w:rPr>
        <w:t>bioptic</w:t>
      </w:r>
      <w:proofErr w:type="spellEnd"/>
      <w:r w:rsidRPr="00DE67E9">
        <w:rPr>
          <w:rFonts w:ascii="Arial" w:hAnsi="Arial" w:cs="Arial"/>
          <w:sz w:val="36"/>
          <w:szCs w:val="36"/>
        </w:rPr>
        <w:t xml:space="preserve"> driver training)   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 xml:space="preserve">Passage of instructional permit – 2 weeks prior to training </w:t>
      </w:r>
      <w:r w:rsidRPr="00DE67E9">
        <w:rPr>
          <w:rFonts w:ascii="Arial" w:hAnsi="Arial" w:cs="Arial"/>
          <w:sz w:val="36"/>
          <w:szCs w:val="36"/>
        </w:rPr>
        <w:t xml:space="preserve">(assures basic knowledge of state road laws and road signs, may be restrictive in nature – i.e. only allows permit bearer to drive with driving instructor or </w:t>
      </w:r>
      <w:r w:rsidRPr="00DE67E9">
        <w:rPr>
          <w:rFonts w:ascii="Arial" w:hAnsi="Arial" w:cs="Arial"/>
          <w:sz w:val="36"/>
          <w:szCs w:val="36"/>
        </w:rPr>
        <w:lastRenderedPageBreak/>
        <w:t>specially trained driver examiner, may also be longer in nature to compensate for interruptions in services due to situations beyond control of applicant)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 xml:space="preserve">90 hours of required training for novice candidates </w:t>
      </w:r>
      <w:r w:rsidRPr="00DE67E9">
        <w:rPr>
          <w:rFonts w:ascii="Arial" w:hAnsi="Arial" w:cs="Arial"/>
          <w:sz w:val="36"/>
          <w:szCs w:val="36"/>
        </w:rPr>
        <w:t>(assures adequate exposure to needed classroom, passenger-in-car and behind-the-wheel skills to promote safe driving)</w:t>
      </w:r>
    </w:p>
    <w:p w:rsidR="009B7909" w:rsidRPr="00DE67E9" w:rsidRDefault="00587273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>Standardized driving assessment (</w:t>
      </w:r>
      <w:r w:rsidRPr="00DE67E9">
        <w:rPr>
          <w:rFonts w:ascii="Arial" w:hAnsi="Arial" w:cs="Arial"/>
          <w:bCs/>
          <w:sz w:val="36"/>
          <w:szCs w:val="36"/>
        </w:rPr>
        <w:t xml:space="preserve">assures that an acceptable level of actual driving and </w:t>
      </w:r>
      <w:proofErr w:type="spellStart"/>
      <w:r w:rsidRPr="00DE67E9">
        <w:rPr>
          <w:rFonts w:ascii="Arial" w:hAnsi="Arial" w:cs="Arial"/>
          <w:bCs/>
          <w:sz w:val="36"/>
          <w:szCs w:val="36"/>
        </w:rPr>
        <w:t>bioptic</w:t>
      </w:r>
      <w:proofErr w:type="spellEnd"/>
      <w:r w:rsidRPr="00DE67E9">
        <w:rPr>
          <w:rFonts w:ascii="Arial" w:hAnsi="Arial" w:cs="Arial"/>
          <w:bCs/>
          <w:sz w:val="36"/>
          <w:szCs w:val="36"/>
        </w:rPr>
        <w:t xml:space="preserve"> usage competency has been achieved by training end)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 xml:space="preserve">Certificate of Completion </w:t>
      </w:r>
      <w:r w:rsidRPr="00DE67E9">
        <w:rPr>
          <w:rFonts w:ascii="Arial" w:hAnsi="Arial" w:cs="Arial"/>
          <w:sz w:val="36"/>
          <w:szCs w:val="36"/>
        </w:rPr>
        <w:t xml:space="preserve">(assures compliance re satisfactory completion of driver’s training, proficient integration of </w:t>
      </w:r>
      <w:proofErr w:type="spellStart"/>
      <w:r w:rsidRPr="00DE67E9">
        <w:rPr>
          <w:rFonts w:ascii="Arial" w:hAnsi="Arial" w:cs="Arial"/>
          <w:sz w:val="36"/>
          <w:szCs w:val="36"/>
        </w:rPr>
        <w:t>bioptic</w:t>
      </w:r>
      <w:proofErr w:type="spellEnd"/>
      <w:r w:rsidRPr="00DE67E9">
        <w:rPr>
          <w:rFonts w:ascii="Arial" w:hAnsi="Arial" w:cs="Arial"/>
          <w:sz w:val="36"/>
          <w:szCs w:val="36"/>
        </w:rPr>
        <w:t xml:space="preserve"> usage during the driving task, and set vision standards)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 xml:space="preserve">Comprehensive driver license testing </w:t>
      </w:r>
      <w:r w:rsidRPr="00DE67E9">
        <w:rPr>
          <w:rFonts w:ascii="Arial" w:hAnsi="Arial" w:cs="Arial"/>
          <w:sz w:val="36"/>
          <w:szCs w:val="36"/>
        </w:rPr>
        <w:t xml:space="preserve">(assures competency in the driving task, useful in appeals or court process, helpful when driver training is limited or not required) 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 xml:space="preserve">Driving restrictions </w:t>
      </w:r>
      <w:r w:rsidRPr="00DE67E9">
        <w:rPr>
          <w:rFonts w:ascii="Arial" w:hAnsi="Arial" w:cs="Arial"/>
          <w:sz w:val="36"/>
          <w:szCs w:val="36"/>
        </w:rPr>
        <w:t xml:space="preserve">(encourages gradual exposure to more challenging types of driving) 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 xml:space="preserve">Removal of driving restrictions </w:t>
      </w:r>
      <w:r w:rsidRPr="00DE67E9">
        <w:rPr>
          <w:rFonts w:ascii="Arial" w:hAnsi="Arial" w:cs="Arial"/>
          <w:sz w:val="36"/>
          <w:szCs w:val="36"/>
        </w:rPr>
        <w:t>(provides an avenue for more challenging types of driving)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lastRenderedPageBreak/>
        <w:t>Out-of-state restricted (</w:t>
      </w:r>
      <w:proofErr w:type="spellStart"/>
      <w:r w:rsidRPr="00DE67E9">
        <w:rPr>
          <w:rFonts w:ascii="Arial" w:hAnsi="Arial" w:cs="Arial"/>
          <w:b/>
          <w:bCs/>
          <w:sz w:val="36"/>
          <w:szCs w:val="36"/>
        </w:rPr>
        <w:t>bioptic</w:t>
      </w:r>
      <w:proofErr w:type="spellEnd"/>
      <w:r w:rsidRPr="00DE67E9">
        <w:rPr>
          <w:rFonts w:ascii="Arial" w:hAnsi="Arial" w:cs="Arial"/>
          <w:b/>
          <w:bCs/>
          <w:sz w:val="36"/>
          <w:szCs w:val="36"/>
        </w:rPr>
        <w:t xml:space="preserve">) drivers </w:t>
      </w:r>
      <w:r w:rsidRPr="00DE67E9">
        <w:rPr>
          <w:rFonts w:ascii="Arial" w:hAnsi="Arial" w:cs="Arial"/>
          <w:sz w:val="36"/>
          <w:szCs w:val="36"/>
        </w:rPr>
        <w:t xml:space="preserve">(affords out-of-state already licensed </w:t>
      </w:r>
      <w:proofErr w:type="spellStart"/>
      <w:r w:rsidRPr="00DE67E9">
        <w:rPr>
          <w:rFonts w:ascii="Arial" w:hAnsi="Arial" w:cs="Arial"/>
          <w:sz w:val="36"/>
          <w:szCs w:val="36"/>
        </w:rPr>
        <w:t>bioptic</w:t>
      </w:r>
      <w:proofErr w:type="spellEnd"/>
      <w:r w:rsidRPr="00DE67E9">
        <w:rPr>
          <w:rFonts w:ascii="Arial" w:hAnsi="Arial" w:cs="Arial"/>
          <w:sz w:val="36"/>
          <w:szCs w:val="36"/>
        </w:rPr>
        <w:t xml:space="preserve"> drivers an avenue to transfer existing </w:t>
      </w:r>
      <w:proofErr w:type="spellStart"/>
      <w:r w:rsidRPr="00DE67E9">
        <w:rPr>
          <w:rFonts w:ascii="Arial" w:hAnsi="Arial" w:cs="Arial"/>
          <w:sz w:val="36"/>
          <w:szCs w:val="36"/>
        </w:rPr>
        <w:t>bioptic</w:t>
      </w:r>
      <w:proofErr w:type="spellEnd"/>
      <w:r w:rsidRPr="00DE67E9">
        <w:rPr>
          <w:rFonts w:ascii="Arial" w:hAnsi="Arial" w:cs="Arial"/>
          <w:sz w:val="36"/>
          <w:szCs w:val="36"/>
        </w:rPr>
        <w:t xml:space="preserve"> driving privileges)</w:t>
      </w:r>
      <w:r w:rsidRPr="00DE67E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 xml:space="preserve">License renewal criteria </w:t>
      </w:r>
      <w:r w:rsidRPr="00DE67E9">
        <w:rPr>
          <w:rFonts w:ascii="Arial" w:hAnsi="Arial" w:cs="Arial"/>
          <w:sz w:val="36"/>
          <w:szCs w:val="36"/>
        </w:rPr>
        <w:t xml:space="preserve">(assures compliance with set vision standards and method for driver re-training if needed pending accrued driving records) 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 xml:space="preserve">DMV regulatory and oversight practices </w:t>
      </w:r>
      <w:r w:rsidRPr="00DE67E9">
        <w:rPr>
          <w:rFonts w:ascii="Arial" w:hAnsi="Arial" w:cs="Arial"/>
          <w:sz w:val="36"/>
          <w:szCs w:val="36"/>
        </w:rPr>
        <w:t>(monitors no</w:t>
      </w:r>
      <w:r w:rsidR="00587273" w:rsidRPr="00DE67E9">
        <w:rPr>
          <w:rFonts w:ascii="Arial" w:hAnsi="Arial" w:cs="Arial"/>
          <w:sz w:val="36"/>
          <w:szCs w:val="36"/>
        </w:rPr>
        <w:t>.</w:t>
      </w:r>
      <w:r w:rsidRPr="00DE67E9">
        <w:rPr>
          <w:rFonts w:ascii="Arial" w:hAnsi="Arial" w:cs="Arial"/>
          <w:sz w:val="36"/>
          <w:szCs w:val="36"/>
        </w:rPr>
        <w:t xml:space="preserve"> of </w:t>
      </w:r>
      <w:proofErr w:type="spellStart"/>
      <w:r w:rsidRPr="00DE67E9">
        <w:rPr>
          <w:rFonts w:ascii="Arial" w:hAnsi="Arial" w:cs="Arial"/>
          <w:sz w:val="36"/>
          <w:szCs w:val="36"/>
        </w:rPr>
        <w:t>bioptic</w:t>
      </w:r>
      <w:proofErr w:type="spellEnd"/>
      <w:r w:rsidRPr="00DE67E9">
        <w:rPr>
          <w:rFonts w:ascii="Arial" w:hAnsi="Arial" w:cs="Arial"/>
          <w:sz w:val="36"/>
          <w:szCs w:val="36"/>
        </w:rPr>
        <w:t xml:space="preserve"> driver licenses issued and accrued driving records)</w:t>
      </w:r>
    </w:p>
    <w:p w:rsidR="009B7909" w:rsidRPr="00DE67E9" w:rsidRDefault="009B7909" w:rsidP="009B7909">
      <w:pPr>
        <w:numPr>
          <w:ilvl w:val="0"/>
          <w:numId w:val="2"/>
        </w:numPr>
        <w:spacing w:after="200" w:line="276" w:lineRule="auto"/>
        <w:rPr>
          <w:sz w:val="36"/>
          <w:szCs w:val="36"/>
        </w:rPr>
      </w:pPr>
      <w:r w:rsidRPr="00DE67E9">
        <w:rPr>
          <w:rFonts w:ascii="Arial" w:hAnsi="Arial" w:cs="Arial"/>
          <w:b/>
          <w:bCs/>
          <w:sz w:val="36"/>
          <w:szCs w:val="36"/>
        </w:rPr>
        <w:t xml:space="preserve">DRS regulatory and oversight practices </w:t>
      </w:r>
      <w:r w:rsidRPr="00DE67E9">
        <w:rPr>
          <w:rFonts w:ascii="Arial" w:hAnsi="Arial" w:cs="Arial"/>
          <w:sz w:val="36"/>
          <w:szCs w:val="36"/>
        </w:rPr>
        <w:t xml:space="preserve">(monitors </w:t>
      </w:r>
      <w:r w:rsidR="006162E9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Pr="00DE67E9">
        <w:rPr>
          <w:rFonts w:ascii="Arial" w:hAnsi="Arial" w:cs="Arial"/>
          <w:sz w:val="36"/>
          <w:szCs w:val="36"/>
        </w:rPr>
        <w:t>number of program applicants, satisfactory completions, and rationale for those unable to complete program satisfactorily</w:t>
      </w:r>
      <w:r w:rsidRPr="00DE67E9">
        <w:rPr>
          <w:sz w:val="36"/>
          <w:szCs w:val="36"/>
        </w:rPr>
        <w:t>)</w:t>
      </w:r>
    </w:p>
    <w:p w:rsidR="000422BD" w:rsidRPr="00DE67E9" w:rsidRDefault="000422BD">
      <w:pPr>
        <w:rPr>
          <w:sz w:val="36"/>
          <w:szCs w:val="36"/>
        </w:rPr>
      </w:pPr>
    </w:p>
    <w:sectPr w:rsidR="000422BD" w:rsidRPr="00DE67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05" w:rsidRDefault="00765205" w:rsidP="00DE67E9">
      <w:r>
        <w:separator/>
      </w:r>
    </w:p>
  </w:endnote>
  <w:endnote w:type="continuationSeparator" w:id="0">
    <w:p w:rsidR="00765205" w:rsidRDefault="00765205" w:rsidP="00DE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63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7E9" w:rsidRDefault="00DE6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67E9" w:rsidRDefault="00DE6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05" w:rsidRDefault="00765205" w:rsidP="00DE67E9">
      <w:r>
        <w:separator/>
      </w:r>
    </w:p>
  </w:footnote>
  <w:footnote w:type="continuationSeparator" w:id="0">
    <w:p w:rsidR="00765205" w:rsidRDefault="00765205" w:rsidP="00DE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F81"/>
    <w:multiLevelType w:val="hybridMultilevel"/>
    <w:tmpl w:val="06D0D912"/>
    <w:lvl w:ilvl="0" w:tplc="5FA0E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1CB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20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E9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2B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CD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88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26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68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50E6D"/>
    <w:multiLevelType w:val="hybridMultilevel"/>
    <w:tmpl w:val="0F5A7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09"/>
    <w:rsid w:val="000422BD"/>
    <w:rsid w:val="00587273"/>
    <w:rsid w:val="006162E9"/>
    <w:rsid w:val="00765205"/>
    <w:rsid w:val="009B7909"/>
    <w:rsid w:val="00D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0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0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Huss, Chuck P</dc:creator>
  <cp:lastModifiedBy>Huss, Chuck P</cp:lastModifiedBy>
  <cp:revision>2</cp:revision>
  <cp:lastPrinted>2014-09-11T15:42:00Z</cp:lastPrinted>
  <dcterms:created xsi:type="dcterms:W3CDTF">2014-09-11T16:08:00Z</dcterms:created>
  <dcterms:modified xsi:type="dcterms:W3CDTF">2014-09-11T16:08:00Z</dcterms:modified>
</cp:coreProperties>
</file>